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F33" w14:textId="77777777" w:rsidR="00487A22" w:rsidRPr="00487A22" w:rsidRDefault="00487A22" w:rsidP="00487A2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WSHA Model Plain Language 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DCB0A65" w14:textId="77777777" w:rsidR="00487A22" w:rsidRPr="00487A22" w:rsidRDefault="00487A22" w:rsidP="00487A2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Healthcare Facility 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15A89B3" w14:textId="77777777" w:rsidR="00487A22" w:rsidRPr="00487A22" w:rsidRDefault="00487A22" w:rsidP="00487A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Emergency Code Event Policy Template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9617D07" w14:textId="77777777" w:rsidR="00487A22" w:rsidRPr="00487A22" w:rsidRDefault="00487A22" w:rsidP="00487A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5C06700D" w14:textId="649E41F9" w:rsidR="00487A22" w:rsidRPr="00487A22" w:rsidRDefault="00487A22" w:rsidP="00487A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bookmarkStart w:id="0" w:name="_Hlk170317898"/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This policy template is a sample resource that provides structure and baseline content for your hospital emergency code</w:t>
      </w:r>
      <w:r w:rsidR="006056AE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. U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se of this resource is a suggestion and not a requirement. </w:t>
      </w:r>
    </w:p>
    <w:p w14:paraId="7E057BE2" w14:textId="77777777" w:rsidR="00487A22" w:rsidRPr="00487A22" w:rsidRDefault="00487A22" w:rsidP="00487A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336E9326" w14:textId="77777777" w:rsidR="00487A22" w:rsidRPr="00487A22" w:rsidRDefault="00487A2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487A22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340FF0FF" w14:textId="77777777" w:rsidR="00487A22" w:rsidRPr="00487A22" w:rsidRDefault="00487A2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29D3875" w14:textId="10CF38C8" w:rsidR="00487A22" w:rsidRPr="00487A22" w:rsidRDefault="00487A22" w:rsidP="00487A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_______________________________________________________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0258CD30" w14:textId="77777777" w:rsidR="00487A22" w:rsidRPr="00487A22" w:rsidRDefault="00487A2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</w:p>
    <w:bookmarkEnd w:id="0"/>
    <w:p w14:paraId="2AB31414" w14:textId="3EC760B6" w:rsidR="003252C2" w:rsidRPr="00487A22" w:rsidRDefault="00487A2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  <w:r w:rsidR="003252C2" w:rsidRPr="00487A22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>Policy Name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1F3864" w:themeColor="accent1" w:themeShade="80"/>
          <w:sz w:val="22"/>
          <w:szCs w:val="22"/>
        </w:rPr>
        <w:t xml:space="preserve">: </w:t>
      </w:r>
      <w:r w:rsidR="003252C2" w:rsidRPr="00487A22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>Utility or Technology Interruption</w:t>
      </w:r>
      <w:r w:rsidR="003252C2"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315FCE3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98D7916" w14:textId="7AF52312" w:rsidR="003252C2" w:rsidRPr="00487A22" w:rsidRDefault="003252C2" w:rsidP="002260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 xml:space="preserve">Purpose: </w:t>
      </w:r>
      <w:r w:rsidR="00B9536D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</w:t>
      </w:r>
      <w:r w:rsidR="00226057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o define the procedure by which hospital </w:t>
      </w:r>
      <w:r w:rsid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personnel </w:t>
      </w:r>
      <w:r w:rsidR="00226057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will initiate a utility and/or a technology interruption.</w:t>
      </w:r>
    </w:p>
    <w:p w14:paraId="536B2E03" w14:textId="23D5C601" w:rsidR="003252C2" w:rsidRDefault="00487A22" w:rsidP="003252C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 xml:space="preserve">Application and </w:t>
      </w:r>
      <w:r w:rsidR="003252C2" w:rsidRPr="00487A22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 xml:space="preserve">Scope: 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All staff within healthcare facility</w:t>
      </w: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  <w:r w:rsidR="003252C2"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0E7E6620" w14:textId="77777777" w:rsidR="00487A22" w:rsidRPr="00487A22" w:rsidRDefault="00487A2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D10DF1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>Definitions: </w:t>
      </w:r>
      <w:r w:rsidRPr="00487A22">
        <w:rPr>
          <w:rStyle w:val="eop"/>
          <w:rFonts w:asciiTheme="minorHAnsi" w:eastAsiaTheme="majorEastAsia" w:hAnsiTheme="minorHAnsi" w:cstheme="minorHAnsi"/>
          <w:color w:val="1F3864" w:themeColor="accent1" w:themeShade="80"/>
          <w:sz w:val="22"/>
          <w:szCs w:val="22"/>
        </w:rPr>
        <w:t> </w:t>
      </w:r>
    </w:p>
    <w:p w14:paraId="5C10C31F" w14:textId="2E9DF67F" w:rsidR="003252C2" w:rsidRPr="00487A22" w:rsidRDefault="003252C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 xml:space="preserve">Utility Interruption: </w:t>
      </w:r>
      <w:r w:rsidR="00D239A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A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disruption or failure of essential services that may impact patient care. 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0A1A5DAC" w14:textId="77777777" w:rsidR="003252C2" w:rsidRPr="00487A22" w:rsidRDefault="003252C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This may include: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088480E" w14:textId="77777777" w:rsidR="003252C2" w:rsidRPr="00487A22" w:rsidRDefault="003252C2" w:rsidP="00487A2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Power supply such as equipment, lighting. 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741203E" w14:textId="77777777" w:rsidR="003252C2" w:rsidRPr="00487A22" w:rsidRDefault="003252C2" w:rsidP="00487A2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Heating, ventilation, air conditioning that may impact temperature control, air quality, environment.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187EDE97" w14:textId="77777777" w:rsidR="003252C2" w:rsidRPr="00487A22" w:rsidRDefault="003252C2" w:rsidP="00487A2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Medical gas systems such as oxygen, nitrogen, or other medical gases.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562E0844" w14:textId="63B046A3" w:rsidR="003252C2" w:rsidRPr="00487A22" w:rsidRDefault="003252C2" w:rsidP="00487A2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Water and wastewater drainage systems</w:t>
      </w:r>
      <w:r w:rsidR="00DE0D5A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F00087F" w14:textId="77777777" w:rsidR="003252C2" w:rsidRPr="00487A22" w:rsidRDefault="003252C2" w:rsidP="00487A2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Steam, natural gas, diesel, etc.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F52CA46" w14:textId="77777777" w:rsidR="003252C2" w:rsidRPr="00487A22" w:rsidRDefault="003252C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626CCFA" w14:textId="0759EEC3" w:rsidR="003252C2" w:rsidRPr="00487A22" w:rsidRDefault="003252C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 xml:space="preserve">Technology Interruption: </w:t>
      </w:r>
      <w:r w:rsidR="001612DE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A</w:t>
      </w: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disruption or failure of essential technological systems that may impact patient care and operational efficiency. 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9925BE0" w14:textId="77777777" w:rsidR="003252C2" w:rsidRPr="00487A22" w:rsidRDefault="003252C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This may include: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EDB7E09" w14:textId="77777777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Audio and/or video communication devices, for example land-line phones, internet connectivity, cellular networks, etc.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057EFB10" w14:textId="7C92D605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Cyber-attacks, software or hardware problems</w:t>
      </w:r>
      <w:r w:rsidR="00DE0D5A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372357A" w14:textId="77777777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Telehealth or enabled remote medical consultations, video calls between healthcare providers and patients.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F7A9103" w14:textId="77777777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Artificial Intelligence such as assistive diagnostics, treatment planning, predictive analytics.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1C1A1E7F" w14:textId="77777777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Open data systems such as data exchange, collaboration, and seamless patient care.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110B219" w14:textId="58432378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Value-based Care</w:t>
      </w:r>
      <w:r w:rsidR="001612D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,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such as value-based care models where reimbursement may be tied to patient outcomes</w:t>
      </w:r>
      <w:r w:rsidR="00DE0D5A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688D3941" w14:textId="77777777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Electronic Health Record that may hinder data access and care coordination.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0CDA5A18" w14:textId="4145DDAB" w:rsidR="003252C2" w:rsidRPr="00487A22" w:rsidRDefault="003252C2" w:rsidP="00487A2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Non-traditional partnerships</w:t>
      </w:r>
      <w:r w:rsidR="001612D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,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such as collaboration with tech companies or other partners</w:t>
      </w:r>
      <w:r w:rsidR="00DE0D5A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that may impact innovation, data security and patient-related experiences.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45C8948" w14:textId="77777777" w:rsidR="00226057" w:rsidRPr="00487A22" w:rsidRDefault="00226057" w:rsidP="00DE0D5A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0E5B0E" w14:textId="4744C7CB" w:rsidR="00487A2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Policy</w:t>
      </w:r>
      <w:r w:rsid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 and Responsibilities: </w:t>
      </w:r>
      <w:r w:rsidR="001612D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</w:t>
      </w:r>
      <w:r w:rsidR="00487A22" w:rsidRPr="00487A2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ersonnel</w:t>
      </w:r>
      <w:r w:rsidR="00487A22">
        <w:rPr>
          <w:rStyle w:val="normaltextrun"/>
          <w:rFonts w:asciiTheme="minorHAnsi" w:eastAsiaTheme="majorEastAsia" w:hAnsiTheme="minorHAnsi" w:cstheme="minorHAnsi"/>
          <w:b/>
          <w:bCs/>
          <w:color w:val="0070C0"/>
          <w:sz w:val="22"/>
          <w:szCs w:val="22"/>
        </w:rPr>
        <w:t xml:space="preserve"> </w:t>
      </w:r>
      <w:r w:rsidR="00487A22" w:rsidRPr="00487A2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will know the procedure to inform and</w:t>
      </w:r>
      <w:r w:rsidR="00487A2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/</w:t>
      </w:r>
      <w:r w:rsidR="00487A22" w:rsidRPr="00487A2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or support a utility or technology disruption.</w:t>
      </w:r>
    </w:p>
    <w:p w14:paraId="4A9684B1" w14:textId="77777777" w:rsidR="00487A22" w:rsidRDefault="00487A22" w:rsidP="00325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70C0"/>
          <w:sz w:val="22"/>
          <w:szCs w:val="22"/>
        </w:rPr>
      </w:pPr>
    </w:p>
    <w:p w14:paraId="2FBEF847" w14:textId="1827D156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In the event of a</w:t>
      </w:r>
      <w:r w:rsidR="00226057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utility and/or technology 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emergency situation, a plain language alert will be utilized to notify and initiate the appropriate individuals and emergency response based on the campus emergency operations plan. 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03F11390" w14:textId="77777777" w:rsidR="00226057" w:rsidRPr="00487A22" w:rsidRDefault="00226057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47800D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6E085EC4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228828F" w14:textId="01D60428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Procedure: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7257D70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1.Initiating an Emergency Alert Call: Utility or Technology Interruption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5EDB98D1" w14:textId="14BC0BA4" w:rsidR="003252C2" w:rsidRPr="00487A22" w:rsidRDefault="00487A22" w:rsidP="00487A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A staff person who becomes aware of a utility or technology interruption should announce and/or co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ntact the call center staff to </w:t>
      </w:r>
      <w:r w:rsidR="00AB55C1"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initiate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the notification process for </w:t>
      </w:r>
      <w:r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either 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‘Utility’ or ‘Technology’</w:t>
      </w:r>
      <w:r w:rsidR="003252C2"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  <w:r w:rsidR="00AB55C1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alert. </w:t>
      </w:r>
    </w:p>
    <w:p w14:paraId="3ECCB654" w14:textId="4DA14584" w:rsidR="003252C2" w:rsidRPr="00487A22" w:rsidRDefault="00AB55C1" w:rsidP="00AB55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The announcement 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should </w:t>
      </w: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include 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use </w:t>
      </w: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of 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the plain language alert and the established alert scripting for </w:t>
      </w: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the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alerts as follows:</w:t>
      </w:r>
      <w:r w:rsidR="003252C2"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724D2CD" w14:textId="469CEFFD" w:rsidR="003252C2" w:rsidRPr="00487A22" w:rsidRDefault="00AB55C1" w:rsidP="00AB55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“</w:t>
      </w:r>
      <w:r w:rsidR="003252C2"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Facility Alert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 + </w:t>
      </w:r>
      <w:r w:rsidR="003252C2"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Technology/Utility Interruption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 </w:t>
      </w:r>
      <w:r w:rsidRPr="00AB55C1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+ </w:t>
      </w:r>
      <w:r w:rsidR="003252C2" w:rsidRPr="00AB55C1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location + directions”</w:t>
      </w:r>
      <w:r w:rsidR="003252C2"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7A53C4A" w14:textId="77777777" w:rsidR="00AB55C1" w:rsidRDefault="00AB55C1" w:rsidP="00AB55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 </w:t>
      </w:r>
    </w:p>
    <w:p w14:paraId="0C4EFCCA" w14:textId="35CE1E4A" w:rsidR="00AB55C1" w:rsidRPr="006056AE" w:rsidRDefault="001612DE" w:rsidP="00AB55C1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i/>
          <w:iCs/>
          <w:color w:val="0E2740"/>
          <w:sz w:val="22"/>
          <w:szCs w:val="22"/>
        </w:rPr>
        <w:t>M</w:t>
      </w:r>
      <w:r w:rsidR="00AB55C1" w:rsidRPr="006056AE">
        <w:rPr>
          <w:rStyle w:val="normaltextrun"/>
          <w:rFonts w:asciiTheme="minorHAnsi" w:eastAsiaTheme="majorEastAsia" w:hAnsiTheme="minorHAnsi" w:cstheme="minorHAnsi"/>
          <w:i/>
          <w:iCs/>
          <w:color w:val="0E2740"/>
          <w:sz w:val="22"/>
          <w:szCs w:val="22"/>
        </w:rPr>
        <w:t xml:space="preserve">ay initiate IT </w:t>
      </w:r>
      <w:r w:rsidR="003252C2" w:rsidRPr="006056AE">
        <w:rPr>
          <w:rStyle w:val="normaltextrun"/>
          <w:rFonts w:asciiTheme="minorHAnsi" w:eastAsiaTheme="majorEastAsia" w:hAnsiTheme="minorHAnsi" w:cstheme="minorHAnsi"/>
          <w:i/>
          <w:iCs/>
          <w:color w:val="0E2740"/>
          <w:sz w:val="22"/>
          <w:szCs w:val="22"/>
        </w:rPr>
        <w:t>Downtime procedures</w:t>
      </w:r>
      <w:r w:rsidR="00AB55C1" w:rsidRPr="006056AE">
        <w:rPr>
          <w:rStyle w:val="normaltextrun"/>
          <w:rFonts w:asciiTheme="minorHAnsi" w:eastAsiaTheme="majorEastAsia" w:hAnsiTheme="minorHAnsi" w:cstheme="minorHAnsi"/>
          <w:i/>
          <w:iCs/>
          <w:color w:val="0E2740"/>
          <w:sz w:val="22"/>
          <w:szCs w:val="22"/>
        </w:rPr>
        <w:t xml:space="preserve"> as outlined (</w:t>
      </w:r>
      <w:r w:rsidR="00AB55C1" w:rsidRPr="006056AE">
        <w:rPr>
          <w:rStyle w:val="normaltextrun"/>
          <w:rFonts w:asciiTheme="minorHAnsi" w:eastAsiaTheme="majorEastAsia" w:hAnsiTheme="minorHAnsi" w:cstheme="minorHAnsi"/>
          <w:i/>
          <w:iCs/>
          <w:color w:val="0070C0"/>
          <w:sz w:val="22"/>
          <w:szCs w:val="22"/>
        </w:rPr>
        <w:t>insert location here</w:t>
      </w:r>
      <w:r w:rsidR="00AB55C1" w:rsidRPr="006056AE">
        <w:rPr>
          <w:rStyle w:val="normaltextrun"/>
          <w:rFonts w:asciiTheme="minorHAnsi" w:eastAsiaTheme="majorEastAsia" w:hAnsiTheme="minorHAnsi" w:cstheme="minorHAnsi"/>
          <w:i/>
          <w:iCs/>
          <w:color w:val="0E2740"/>
          <w:sz w:val="22"/>
          <w:szCs w:val="22"/>
        </w:rPr>
        <w:t xml:space="preserve">) </w:t>
      </w:r>
    </w:p>
    <w:p w14:paraId="60F5110A" w14:textId="2D21FF61" w:rsidR="003252C2" w:rsidRPr="00487A22" w:rsidRDefault="005474B7" w:rsidP="00AB55C1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8" w:tgtFrame="_blank" w:history="1">
        <w:r w:rsidR="003252C2" w:rsidRPr="00487A22">
          <w:rPr>
            <w:rStyle w:val="normaltextrun"/>
            <w:rFonts w:asciiTheme="minorHAnsi" w:eastAsiaTheme="majorEastAsia" w:hAnsiTheme="minorHAnsi" w:cstheme="minorHAnsi"/>
            <w:color w:val="0000FF"/>
            <w:sz w:val="22"/>
            <w:szCs w:val="22"/>
            <w:u w:val="single"/>
          </w:rPr>
          <w:t>Partnership for Health IT Patient Safety</w:t>
        </w:r>
      </w:hyperlink>
      <w:r w:rsidR="003252C2"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  <w:r w:rsidR="00AB55C1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(</w:t>
      </w:r>
      <w:r w:rsidR="00AB55C1" w:rsidRPr="00AB55C1">
        <w:rPr>
          <w:rStyle w:val="eop"/>
          <w:rFonts w:asciiTheme="minorHAnsi" w:eastAsiaTheme="majorEastAsia" w:hAnsiTheme="minorHAnsi" w:cstheme="minorHAnsi"/>
          <w:i/>
          <w:iCs/>
          <w:color w:val="0070C0"/>
          <w:sz w:val="22"/>
          <w:szCs w:val="22"/>
        </w:rPr>
        <w:t>hospital should tailor for applicability</w:t>
      </w:r>
      <w:r w:rsidR="00AB55C1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)</w:t>
      </w:r>
    </w:p>
    <w:p w14:paraId="349B86FF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D96C0B9" w14:textId="30F8CDCB" w:rsidR="003252C2" w:rsidRPr="00487A22" w:rsidRDefault="00AB55C1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2</w:t>
      </w:r>
      <w:r w:rsidR="003252C2"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. Terminating an Emergency Alert Call </w:t>
      </w:r>
      <w:r w:rsidR="003252C2"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B6C5C1D" w14:textId="34BDDBDA" w:rsidR="003252C2" w:rsidRDefault="003252C2" w:rsidP="00AB55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Once the emergency has been effectively managed or resolved and dependent on the emergency operations plan, </w:t>
      </w:r>
      <w:r w:rsidR="00AB55C1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most 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emergency alert</w:t>
      </w:r>
      <w:r w:rsidR="00AB55C1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call should be canceled.  </w:t>
      </w:r>
    </w:p>
    <w:p w14:paraId="3163B97E" w14:textId="77777777" w:rsidR="00AB55C1" w:rsidRPr="00487A22" w:rsidRDefault="00AB55C1" w:rsidP="00AB55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5982FA" w14:textId="77777777" w:rsidR="00AB55C1" w:rsidRDefault="003252C2" w:rsidP="00AB55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 </w:t>
      </w: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Facility Alert Technology/Utility Interruption 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+ specific technology</w:t>
      </w: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 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+ location+ “All Clear” </w:t>
      </w:r>
      <w:r w:rsidR="00AB55C1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may b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e announced by </w:t>
      </w:r>
      <w:r w:rsidR="00AB55C1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call center staff </w:t>
      </w: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to all that received the notification. </w:t>
      </w:r>
    </w:p>
    <w:p w14:paraId="77169561" w14:textId="097ABAB6" w:rsidR="003252C2" w:rsidRPr="00487A22" w:rsidRDefault="003252C2" w:rsidP="00AB55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This announcement should be repeated three times.</w:t>
      </w: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86DAA11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62222384" w14:textId="67048347" w:rsidR="003252C2" w:rsidRPr="00487A22" w:rsidRDefault="00AB55C1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B55C1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3.</w:t>
      </w:r>
      <w:r w:rsidR="003252C2" w:rsidRPr="00487A22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Staff education, including training cadence on this policy may be found under the education and staffing component section under the Scope of Service policy or facility Emergency Operations Manual</w:t>
      </w: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Pr="007166C5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  <w:highlight w:val="yellow"/>
        </w:rPr>
        <w:t>(</w:t>
      </w:r>
      <w:r w:rsidRPr="007166C5">
        <w:rPr>
          <w:rStyle w:val="normaltextrun"/>
          <w:rFonts w:asciiTheme="minorHAnsi" w:eastAsiaTheme="majorEastAsia" w:hAnsiTheme="minorHAnsi" w:cstheme="minorHAnsi"/>
          <w:i/>
          <w:iCs/>
          <w:color w:val="0070C0"/>
          <w:sz w:val="22"/>
          <w:szCs w:val="22"/>
          <w:highlight w:val="yellow"/>
        </w:rPr>
        <w:t>insert location here</w:t>
      </w:r>
      <w:r w:rsidRPr="007166C5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  <w:highlight w:val="yellow"/>
        </w:rPr>
        <w:t>)</w:t>
      </w:r>
      <w:r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</w:p>
    <w:p w14:paraId="52B97AE2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0AC1A93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References:</w:t>
      </w: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5845783" w14:textId="77777777" w:rsidR="003252C2" w:rsidRPr="00487A22" w:rsidRDefault="003252C2" w:rsidP="00B9536D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</w:rPr>
        <w:t>Diaz N. </w:t>
      </w:r>
      <w:hyperlink r:id="rId9" w:tgtFrame="_blank" w:history="1">
        <w:r w:rsidRPr="00487A22">
          <w:rPr>
            <w:rStyle w:val="normaltextrun"/>
            <w:rFonts w:asciiTheme="minorHAnsi" w:eastAsiaTheme="majorEastAsia" w:hAnsiTheme="minorHAnsi" w:cstheme="minorHAnsi"/>
            <w:color w:val="0071CE"/>
            <w:sz w:val="14"/>
            <w:szCs w:val="14"/>
            <w:u w:val="single"/>
          </w:rPr>
          <w:t>VA Cerner EHR system has been ‘unusable’ 52 times since 2020</w:t>
        </w:r>
      </w:hyperlink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</w:rPr>
        <w:t>. Becker’s Health IT. May 9, 2022.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511E1BD3" w14:textId="77777777" w:rsidR="003252C2" w:rsidRPr="00487A22" w:rsidRDefault="003252C2" w:rsidP="00B9536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Institute for Safe Medication Practices (ISMP). Emergency preparedness: be ready for unanticipated EHR downtime. </w:t>
      </w:r>
      <w:r w:rsidRPr="00487A22">
        <w:rPr>
          <w:rStyle w:val="normaltextrun"/>
          <w:rFonts w:asciiTheme="minorHAnsi" w:eastAsiaTheme="majorEastAsia" w:hAnsiTheme="minorHAnsi" w:cstheme="minorHAnsi"/>
          <w:i/>
          <w:iCs/>
          <w:color w:val="141414"/>
          <w:sz w:val="14"/>
          <w:szCs w:val="14"/>
          <w:shd w:val="clear" w:color="auto" w:fill="FFFFFF"/>
        </w:rPr>
        <w:t>ISMP Medication Safety Alert! Acute Care</w:t>
      </w: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. 2022;27(17):1-5.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0B1E4253" w14:textId="77777777" w:rsidR="003252C2" w:rsidRPr="00487A22" w:rsidRDefault="003252C2" w:rsidP="00B9536D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The Joint Commission. </w:t>
      </w:r>
      <w:r w:rsidRPr="00487A22">
        <w:rPr>
          <w:rStyle w:val="normaltextrun"/>
          <w:rFonts w:asciiTheme="minorHAnsi" w:eastAsiaTheme="majorEastAsia" w:hAnsiTheme="minorHAnsi" w:cstheme="minorHAnsi"/>
          <w:i/>
          <w:iCs/>
          <w:color w:val="141414"/>
          <w:sz w:val="14"/>
          <w:szCs w:val="14"/>
          <w:shd w:val="clear" w:color="auto" w:fill="FFFFFF"/>
        </w:rPr>
        <w:t>E-dition</w:t>
      </w: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 (web-based access to Comprehensive Accreditation Manuals). 2022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22E3275F" w14:textId="77777777" w:rsidR="003252C2" w:rsidRPr="00487A22" w:rsidRDefault="003252C2" w:rsidP="00B9536D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</w:rPr>
        <w:t>The Joint Commission. New and revised standards in Emergency Management. </w:t>
      </w:r>
      <w:hyperlink r:id="rId10" w:tgtFrame="_blank" w:history="1">
        <w:r w:rsidRPr="00487A22">
          <w:rPr>
            <w:rStyle w:val="normaltextrun"/>
            <w:rFonts w:asciiTheme="minorHAnsi" w:eastAsiaTheme="majorEastAsia" w:hAnsiTheme="minorHAnsi" w:cstheme="minorHAnsi"/>
            <w:i/>
            <w:iCs/>
            <w:color w:val="0071CE"/>
            <w:sz w:val="14"/>
            <w:szCs w:val="14"/>
          </w:rPr>
          <w:t>R3 Report. Requirement, Rationale, Reference</w:t>
        </w:r>
      </w:hyperlink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</w:rPr>
        <w:t>. 2021;34:1-10.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7F6A2A58" w14:textId="77777777" w:rsidR="003252C2" w:rsidRPr="00487A22" w:rsidRDefault="003252C2" w:rsidP="00B9536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Massachusetts General Hospital Center for Disaster Medicine.</w:t>
      </w:r>
      <w:hyperlink r:id="rId11" w:tgtFrame="_blank" w:history="1">
        <w:r w:rsidRPr="00487A22">
          <w:rPr>
            <w:rStyle w:val="normaltextrun"/>
            <w:rFonts w:asciiTheme="minorHAnsi" w:eastAsiaTheme="majorEastAsia" w:hAnsiTheme="minorHAnsi" w:cstheme="minorHAnsi"/>
            <w:color w:val="0071CE"/>
            <w:sz w:val="14"/>
            <w:szCs w:val="14"/>
            <w:u w:val="single"/>
          </w:rPr>
          <w:t> Hospital preparedness for unplanned information technology downtime events: a toolkit for planning and response</w:t>
        </w:r>
      </w:hyperlink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. July 2018.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26E77312" w14:textId="77777777" w:rsidR="003252C2" w:rsidRPr="00487A22" w:rsidRDefault="003252C2" w:rsidP="00B9536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Ponemon Institute. </w:t>
      </w:r>
      <w:hyperlink r:id="rId12" w:tgtFrame="_blank" w:history="1">
        <w:r w:rsidRPr="00487A22">
          <w:rPr>
            <w:rStyle w:val="normaltextrun"/>
            <w:rFonts w:asciiTheme="minorHAnsi" w:eastAsiaTheme="majorEastAsia" w:hAnsiTheme="minorHAnsi" w:cstheme="minorHAnsi"/>
            <w:color w:val="0071CE"/>
            <w:sz w:val="14"/>
            <w:szCs w:val="14"/>
            <w:u w:val="single"/>
          </w:rPr>
          <w:t>Sixth annual benchmark study on privacy &amp; security of healthcare data</w:t>
        </w:r>
      </w:hyperlink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. May 2016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1836522F" w14:textId="77777777" w:rsidR="003252C2" w:rsidRPr="00487A22" w:rsidRDefault="003252C2" w:rsidP="00B9536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4"/>
          <w:szCs w:val="14"/>
        </w:rPr>
      </w:pPr>
      <w:r w:rsidRPr="00487A22">
        <w:rPr>
          <w:rStyle w:val="normaltextrun"/>
          <w:rFonts w:asciiTheme="minorHAnsi" w:eastAsiaTheme="majorEastAsia" w:hAnsiTheme="minorHAnsi" w:cstheme="minorHAnsi"/>
          <w:color w:val="141414"/>
          <w:sz w:val="14"/>
          <w:szCs w:val="14"/>
          <w:shd w:val="clear" w:color="auto" w:fill="FFFFFF"/>
        </w:rPr>
        <w:t>https://www.jointcommission.org/standards/standard-faqs/ambulatory/environment-of-care-ec/000001258/</w:t>
      </w:r>
      <w:r w:rsidRPr="00487A22">
        <w:rPr>
          <w:rStyle w:val="eop"/>
          <w:rFonts w:asciiTheme="minorHAnsi" w:eastAsiaTheme="majorEastAsia" w:hAnsiTheme="minorHAnsi" w:cstheme="minorHAnsi"/>
          <w:color w:val="141414"/>
          <w:sz w:val="14"/>
          <w:szCs w:val="14"/>
        </w:rPr>
        <w:t> </w:t>
      </w:r>
    </w:p>
    <w:p w14:paraId="76FB83FA" w14:textId="77777777" w:rsidR="003252C2" w:rsidRPr="00487A22" w:rsidRDefault="003252C2" w:rsidP="003252C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A0302C9" w14:textId="77777777" w:rsidR="003252C2" w:rsidRPr="00487A22" w:rsidRDefault="003252C2" w:rsidP="003252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4EEF91D" w14:textId="7058168A" w:rsidR="00D4220D" w:rsidRPr="00487A22" w:rsidRDefault="003252C2" w:rsidP="007166C5">
      <w:pPr>
        <w:pStyle w:val="paragraph"/>
        <w:spacing w:before="0" w:beforeAutospacing="0" w:after="0" w:afterAutospacing="0"/>
        <w:textAlignment w:val="baseline"/>
        <w:rPr>
          <w:rFonts w:cstheme="minorHAnsi"/>
        </w:rPr>
      </w:pPr>
      <w:r w:rsidRPr="00487A22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sectPr w:rsidR="00D4220D" w:rsidRPr="00487A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8E36" w14:textId="77777777" w:rsidR="00BD5D02" w:rsidRDefault="00BD5D02" w:rsidP="003252C2">
      <w:pPr>
        <w:spacing w:after="0" w:line="240" w:lineRule="auto"/>
      </w:pPr>
      <w:r>
        <w:separator/>
      </w:r>
    </w:p>
  </w:endnote>
  <w:endnote w:type="continuationSeparator" w:id="0">
    <w:p w14:paraId="46F86424" w14:textId="77777777" w:rsidR="00BD5D02" w:rsidRDefault="00BD5D02" w:rsidP="0032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4859" w14:textId="77777777" w:rsidR="00487A22" w:rsidRDefault="00487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A3A54" w14:textId="6F4D8107" w:rsidR="003252C2" w:rsidRDefault="003252C2" w:rsidP="003252C2">
    <w:pPr>
      <w:pStyle w:val="paragraph"/>
      <w:spacing w:before="0" w:beforeAutospacing="0" w:after="0" w:afterAutospacing="0"/>
      <w:ind w:left="36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061C7801" w14:textId="53D6B794" w:rsidR="003252C2" w:rsidRDefault="003252C2">
    <w:pPr>
      <w:pStyle w:val="Footer"/>
    </w:pPr>
  </w:p>
  <w:p w14:paraId="580B2A31" w14:textId="77777777" w:rsidR="003252C2" w:rsidRDefault="00325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3E566" w14:textId="77777777" w:rsidR="00487A22" w:rsidRDefault="00487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657DC" w14:textId="77777777" w:rsidR="00BD5D02" w:rsidRDefault="00BD5D02" w:rsidP="003252C2">
      <w:pPr>
        <w:spacing w:after="0" w:line="240" w:lineRule="auto"/>
      </w:pPr>
      <w:r>
        <w:separator/>
      </w:r>
    </w:p>
  </w:footnote>
  <w:footnote w:type="continuationSeparator" w:id="0">
    <w:p w14:paraId="32BBE102" w14:textId="77777777" w:rsidR="00BD5D02" w:rsidRDefault="00BD5D02" w:rsidP="0032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7DCB" w14:textId="2596ED74" w:rsidR="00487A22" w:rsidRDefault="005474B7">
    <w:pPr>
      <w:pStyle w:val="Header"/>
    </w:pPr>
    <w:r>
      <w:rPr>
        <w:noProof/>
      </w:rPr>
      <w:pict w14:anchorId="7F817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264126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F425" w14:textId="048CE387" w:rsidR="00487A22" w:rsidRDefault="005474B7">
    <w:pPr>
      <w:pStyle w:val="Header"/>
    </w:pPr>
    <w:r>
      <w:rPr>
        <w:noProof/>
      </w:rPr>
      <w:pict w14:anchorId="112647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264127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69E0" w14:textId="1D6E60DD" w:rsidR="00487A22" w:rsidRDefault="005474B7">
    <w:pPr>
      <w:pStyle w:val="Header"/>
    </w:pPr>
    <w:r>
      <w:rPr>
        <w:noProof/>
      </w:rPr>
      <w:pict w14:anchorId="37CF0E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264125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285D"/>
    <w:multiLevelType w:val="hybridMultilevel"/>
    <w:tmpl w:val="7B68B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961E8B"/>
    <w:multiLevelType w:val="multilevel"/>
    <w:tmpl w:val="CE2C0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E003DF"/>
    <w:multiLevelType w:val="multilevel"/>
    <w:tmpl w:val="4680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F3313"/>
    <w:multiLevelType w:val="multilevel"/>
    <w:tmpl w:val="2764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D730A"/>
    <w:multiLevelType w:val="multilevel"/>
    <w:tmpl w:val="19D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41DB3"/>
    <w:multiLevelType w:val="multilevel"/>
    <w:tmpl w:val="04906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001314"/>
    <w:multiLevelType w:val="multilevel"/>
    <w:tmpl w:val="367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B5170"/>
    <w:multiLevelType w:val="multilevel"/>
    <w:tmpl w:val="1BB44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A0B51"/>
    <w:multiLevelType w:val="multilevel"/>
    <w:tmpl w:val="B9F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926A1A"/>
    <w:multiLevelType w:val="hybridMultilevel"/>
    <w:tmpl w:val="62DC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80B4B"/>
    <w:multiLevelType w:val="multilevel"/>
    <w:tmpl w:val="C4C2D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06049"/>
    <w:multiLevelType w:val="multilevel"/>
    <w:tmpl w:val="33581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D745EB"/>
    <w:multiLevelType w:val="hybridMultilevel"/>
    <w:tmpl w:val="29F2B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74837"/>
    <w:multiLevelType w:val="hybridMultilevel"/>
    <w:tmpl w:val="63F05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3D7B42"/>
    <w:multiLevelType w:val="multilevel"/>
    <w:tmpl w:val="AA82B1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6DB29C0"/>
    <w:multiLevelType w:val="multilevel"/>
    <w:tmpl w:val="C61CA1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C611DDD"/>
    <w:multiLevelType w:val="multilevel"/>
    <w:tmpl w:val="CDBEA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2380FAA"/>
    <w:multiLevelType w:val="multilevel"/>
    <w:tmpl w:val="44AE2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5185C43"/>
    <w:multiLevelType w:val="multilevel"/>
    <w:tmpl w:val="79C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5E3F38"/>
    <w:multiLevelType w:val="multilevel"/>
    <w:tmpl w:val="08701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E0DD9"/>
    <w:multiLevelType w:val="multilevel"/>
    <w:tmpl w:val="CC9E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E930D6"/>
    <w:multiLevelType w:val="multilevel"/>
    <w:tmpl w:val="99A001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941769">
    <w:abstractNumId w:val="18"/>
  </w:num>
  <w:num w:numId="2" w16cid:durableId="341208579">
    <w:abstractNumId w:val="1"/>
  </w:num>
  <w:num w:numId="3" w16cid:durableId="1924341547">
    <w:abstractNumId w:val="14"/>
  </w:num>
  <w:num w:numId="4" w16cid:durableId="1942103620">
    <w:abstractNumId w:val="6"/>
  </w:num>
  <w:num w:numId="5" w16cid:durableId="1140268907">
    <w:abstractNumId w:val="16"/>
  </w:num>
  <w:num w:numId="6" w16cid:durableId="1662466151">
    <w:abstractNumId w:val="4"/>
  </w:num>
  <w:num w:numId="7" w16cid:durableId="1078138913">
    <w:abstractNumId w:val="17"/>
  </w:num>
  <w:num w:numId="8" w16cid:durableId="121534075">
    <w:abstractNumId w:val="8"/>
  </w:num>
  <w:num w:numId="9" w16cid:durableId="1150560198">
    <w:abstractNumId w:val="15"/>
  </w:num>
  <w:num w:numId="10" w16cid:durableId="21322022">
    <w:abstractNumId w:val="2"/>
  </w:num>
  <w:num w:numId="11" w16cid:durableId="300502973">
    <w:abstractNumId w:val="5"/>
  </w:num>
  <w:num w:numId="12" w16cid:durableId="923298912">
    <w:abstractNumId w:val="20"/>
  </w:num>
  <w:num w:numId="13" w16cid:durableId="118962058">
    <w:abstractNumId w:val="10"/>
  </w:num>
  <w:num w:numId="14" w16cid:durableId="974677488">
    <w:abstractNumId w:val="3"/>
  </w:num>
  <w:num w:numId="15" w16cid:durableId="337389749">
    <w:abstractNumId w:val="19"/>
  </w:num>
  <w:num w:numId="16" w16cid:durableId="1227492786">
    <w:abstractNumId w:val="11"/>
  </w:num>
  <w:num w:numId="17" w16cid:durableId="1491095307">
    <w:abstractNumId w:val="21"/>
  </w:num>
  <w:num w:numId="18" w16cid:durableId="461701187">
    <w:abstractNumId w:val="7"/>
  </w:num>
  <w:num w:numId="19" w16cid:durableId="1669164428">
    <w:abstractNumId w:val="13"/>
  </w:num>
  <w:num w:numId="20" w16cid:durableId="182986422">
    <w:abstractNumId w:val="12"/>
  </w:num>
  <w:num w:numId="21" w16cid:durableId="708728857">
    <w:abstractNumId w:val="0"/>
  </w:num>
  <w:num w:numId="22" w16cid:durableId="1850438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2"/>
    <w:rsid w:val="001612DE"/>
    <w:rsid w:val="001A07C1"/>
    <w:rsid w:val="001A7630"/>
    <w:rsid w:val="00220FE8"/>
    <w:rsid w:val="00226057"/>
    <w:rsid w:val="00313231"/>
    <w:rsid w:val="003252C2"/>
    <w:rsid w:val="00344E56"/>
    <w:rsid w:val="00466C48"/>
    <w:rsid w:val="00487A22"/>
    <w:rsid w:val="005474B7"/>
    <w:rsid w:val="005F32C1"/>
    <w:rsid w:val="006056AE"/>
    <w:rsid w:val="00703E46"/>
    <w:rsid w:val="007166C5"/>
    <w:rsid w:val="00734970"/>
    <w:rsid w:val="008406A3"/>
    <w:rsid w:val="00895CD1"/>
    <w:rsid w:val="00A0286F"/>
    <w:rsid w:val="00A47DAF"/>
    <w:rsid w:val="00AB55C1"/>
    <w:rsid w:val="00B42AD8"/>
    <w:rsid w:val="00B9536D"/>
    <w:rsid w:val="00BD0CCB"/>
    <w:rsid w:val="00BD5D02"/>
    <w:rsid w:val="00D239A0"/>
    <w:rsid w:val="00D4220D"/>
    <w:rsid w:val="00DE0D5A"/>
    <w:rsid w:val="00E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2D58"/>
  <w15:chartTrackingRefBased/>
  <w15:docId w15:val="{CE214450-4105-4EA7-B270-7D353654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2C2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2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252C2"/>
  </w:style>
  <w:style w:type="character" w:customStyle="1" w:styleId="eop">
    <w:name w:val="eop"/>
    <w:basedOn w:val="DefaultParagraphFont"/>
    <w:rsid w:val="003252C2"/>
  </w:style>
  <w:style w:type="paragraph" w:styleId="Header">
    <w:name w:val="header"/>
    <w:basedOn w:val="Normal"/>
    <w:link w:val="HeaderChar"/>
    <w:uiPriority w:val="99"/>
    <w:unhideWhenUsed/>
    <w:rsid w:val="0032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C2"/>
  </w:style>
  <w:style w:type="paragraph" w:styleId="Footer">
    <w:name w:val="footer"/>
    <w:basedOn w:val="Normal"/>
    <w:link w:val="FooterChar"/>
    <w:uiPriority w:val="99"/>
    <w:unhideWhenUsed/>
    <w:rsid w:val="0032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C2"/>
  </w:style>
  <w:style w:type="paragraph" w:styleId="Revision">
    <w:name w:val="Revision"/>
    <w:hidden/>
    <w:uiPriority w:val="99"/>
    <w:semiHidden/>
    <w:rsid w:val="00D23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ri.org/EmailResources/HRC/Partnership/Proceedings2017/RSG_HIT_UnplannedDowntime_articl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ponemon.org/local/upload/file/Sixth%20Annual%20Patient%20Privacy%20%26%20Data%20Security%20Report%20FINAL%206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general.org/assets/mgh/pdf/emergency-medicine/downtime-toolki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jointcommission.org/-/media/tjc/documents/standards/r3-reports/final-r3-report-emergency-management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ckershospitalreview.com/ehrs/va-cerner-ehr-system-has-been-unusable-52-times-since-2020.html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1074E-8F41-42B6-A3F8-CB7187BCD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C3330-1DC4-444E-83E6-E098B8D8D602}"/>
</file>

<file path=customXml/itemProps3.xml><?xml version="1.0" encoding="utf-8"?>
<ds:datastoreItem xmlns:ds="http://schemas.openxmlformats.org/officeDocument/2006/customXml" ds:itemID="{D1FC29FD-421C-4E77-80F6-A4A81B5AE43C}"/>
</file>

<file path=customXml/itemProps4.xml><?xml version="1.0" encoding="utf-8"?>
<ds:datastoreItem xmlns:ds="http://schemas.openxmlformats.org/officeDocument/2006/customXml" ds:itemID="{EE2870B6-8A09-4D78-A513-84BA3A26B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2024-07-08T17:01:00Z</dcterms:created>
  <dcterms:modified xsi:type="dcterms:W3CDTF">2024-07-08T19:50:00Z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