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BCB01" w14:textId="77777777" w:rsidR="00485F1C" w:rsidRPr="00226A8D" w:rsidRDefault="00485F1C" w:rsidP="00485F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70318950"/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137BFF4" w14:textId="77777777" w:rsidR="00485F1C" w:rsidRPr="00226A8D" w:rsidRDefault="00485F1C" w:rsidP="00485F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2CBBE44" w14:textId="0C8B2C9F" w:rsidR="00485F1C" w:rsidRDefault="00485F1C" w:rsidP="00485F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</w:t>
      </w:r>
      <w:r w:rsidR="00A1567E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Template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14E9F83" w14:textId="77777777" w:rsidR="00A1567E" w:rsidRPr="0010200A" w:rsidRDefault="00A1567E" w:rsidP="00485F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4AD9B8AD" w14:textId="55CB346B" w:rsidR="00A1567E" w:rsidRPr="0010200A" w:rsidRDefault="00A1567E" w:rsidP="00A1567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bookmarkStart w:id="1" w:name="_Hlk170317898"/>
      <w:r w:rsidRPr="0010200A">
        <w:rPr>
          <w:rStyle w:val="eop"/>
          <w:rFonts w:asciiTheme="minorHAnsi" w:eastAsiaTheme="majorEastAsia" w:hAnsiTheme="minorHAnsi" w:cstheme="minorHAnsi"/>
          <w:sz w:val="22"/>
          <w:szCs w:val="22"/>
        </w:rPr>
        <w:t>This policy template is a sample resource that provides structure and baseline content for your hospital emergency code</w:t>
      </w:r>
      <w:r w:rsidR="008F183C">
        <w:rPr>
          <w:rStyle w:val="eop"/>
          <w:rFonts w:asciiTheme="minorHAnsi" w:eastAsiaTheme="majorEastAsia" w:hAnsiTheme="minorHAnsi" w:cstheme="minorHAnsi"/>
          <w:sz w:val="22"/>
          <w:szCs w:val="22"/>
        </w:rPr>
        <w:t>. U</w:t>
      </w:r>
      <w:r w:rsidRPr="0010200A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se of this resource is a suggestion and not a requirement. </w:t>
      </w:r>
    </w:p>
    <w:p w14:paraId="4D393DF5" w14:textId="77777777" w:rsidR="00A1567E" w:rsidRDefault="00A1567E" w:rsidP="00485F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327BB9B8" w14:textId="15F9E1BD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D97AC6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 w:rsidR="00D97AC6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4F909DB6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9FF2F19" w14:textId="2E6850F3" w:rsidR="00485F1C" w:rsidRDefault="00485F1C" w:rsidP="00485F1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</w:t>
      </w:r>
      <w:r w:rsidR="00D97AC6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bookmarkEnd w:id="1"/>
    <w:p w14:paraId="4DBEC612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bookmarkEnd w:id="0"/>
    <w:p w14:paraId="2AC18146" w14:textId="76844099" w:rsidR="00485F1C" w:rsidRPr="00A1567E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Policy Name</w:t>
      </w:r>
      <w:r w:rsidR="00312FCB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: </w:t>
      </w:r>
      <w:r w:rsidR="00312FCB" w:rsidRPr="00312FCB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>In</w:t>
      </w:r>
      <w:r w:rsidRPr="00A1567E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 xml:space="preserve">ternal or </w:t>
      </w:r>
      <w:r w:rsidR="00312FCB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>Ex</w:t>
      </w:r>
      <w:r w:rsidRPr="00A1567E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 xml:space="preserve">ternal </w:t>
      </w:r>
      <w:r w:rsidR="004E3286" w:rsidRPr="00A1567E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E2740"/>
          <w:sz w:val="22"/>
          <w:szCs w:val="22"/>
          <w:u w:val="single"/>
        </w:rPr>
        <w:t xml:space="preserve">Triage </w:t>
      </w:r>
    </w:p>
    <w:p w14:paraId="5C892103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9576C50" w14:textId="546AE869" w:rsidR="00226A8D" w:rsidRDefault="00485F1C" w:rsidP="004E3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Purpose: 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To </w:t>
      </w:r>
      <w:r w:rsidR="00A1567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provide </w:t>
      </w:r>
      <w:r w:rsidR="003E0286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hospital personnel</w:t>
      </w:r>
      <w:r w:rsidR="00543AF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with </w:t>
      </w:r>
      <w:r w:rsidR="00C24656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the functional framework and guide for decision-making t</w:t>
      </w:r>
      <w:r w:rsidR="00543AF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o a</w:t>
      </w:r>
      <w:r w:rsidR="00217CE8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suspected or perceived internal or external situation</w:t>
      </w:r>
      <w:r w:rsidR="00211DBC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</w:p>
    <w:p w14:paraId="79BA2CC4" w14:textId="77777777" w:rsidR="00211DBC" w:rsidRPr="00226A8D" w:rsidRDefault="00211DBC" w:rsidP="004E32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F3A4D6" w14:textId="43149459" w:rsidR="00485F1C" w:rsidRDefault="00C14F52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Application and </w:t>
      </w:r>
      <w:r w:rsidR="00485F1C"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Scope</w:t>
      </w:r>
      <w:r w:rsidR="00226A8D"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: 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All staff within the healthcare facility.</w:t>
      </w:r>
    </w:p>
    <w:p w14:paraId="20E23807" w14:textId="77777777" w:rsidR="00312FCB" w:rsidRPr="00226A8D" w:rsidRDefault="00312FCB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078846" w14:textId="77777777" w:rsidR="00485F1C" w:rsidRPr="00CE1950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Definitions:  </w:t>
      </w:r>
      <w:r w:rsidRPr="00CE1950">
        <w:rPr>
          <w:rStyle w:val="eop"/>
          <w:rFonts w:asciiTheme="minorHAnsi" w:eastAsiaTheme="majorEastAsia" w:hAnsiTheme="minorHAnsi" w:cstheme="minorHAnsi"/>
          <w:color w:val="002060"/>
          <w:sz w:val="22"/>
          <w:szCs w:val="22"/>
        </w:rPr>
        <w:t> </w:t>
      </w:r>
    </w:p>
    <w:p w14:paraId="2803B9CD" w14:textId="65B813C7" w:rsidR="00485F1C" w:rsidRPr="00226A8D" w:rsidRDefault="00485F1C" w:rsidP="00695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95CDE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Internal </w:t>
      </w:r>
      <w:r w:rsidR="00695CDE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T</w:t>
      </w:r>
      <w:r w:rsidR="00695CDE" w:rsidRPr="00695CDE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riage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is an incident in the facility or on campus which may impact operations and require </w:t>
      </w:r>
      <w:r w:rsidR="00695C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additional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resources and</w:t>
      </w:r>
      <w:r w:rsidR="00695C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/or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4C27B4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trigger</w:t>
      </w:r>
      <w:r w:rsidR="00695C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a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response</w:t>
      </w:r>
      <w:r w:rsidR="00085F58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</w:p>
    <w:p w14:paraId="1E50AD11" w14:textId="77777777" w:rsidR="00695CDE" w:rsidRDefault="00695CDE" w:rsidP="00695C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</w:p>
    <w:p w14:paraId="2E6C6A2E" w14:textId="4AAD8D60" w:rsidR="004C27B4" w:rsidRDefault="00485F1C" w:rsidP="00695C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695CDE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External </w:t>
      </w:r>
      <w:r w:rsidR="00695CDE" w:rsidRPr="00695CDE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Triage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is an incident </w:t>
      </w:r>
      <w:r w:rsidR="00695CD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outside of the facility that may overwhelm or may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impact operations and require 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additional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resources and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/or trigger a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response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,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such as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to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a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mass casualty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or large-scale accident,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transportation incident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, weather or natural disaster event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.  </w:t>
      </w:r>
    </w:p>
    <w:p w14:paraId="7E646F4C" w14:textId="77777777" w:rsidR="004C27B4" w:rsidRDefault="004C27B4" w:rsidP="00695C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</w:p>
    <w:p w14:paraId="31FBB52E" w14:textId="6FB4921E" w:rsidR="00485F1C" w:rsidRPr="00226A8D" w:rsidRDefault="00485F1C" w:rsidP="00695CD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Some incidents can be both 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nternal and 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xternal</w:t>
      </w:r>
      <w:r w:rsidR="004C27B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Triage events.</w:t>
      </w:r>
      <w:r w:rsidR="00E84717" w:rsidRP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E84717" w:rsidRPr="003B448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nternal,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</w:t>
      </w:r>
      <w:r w:rsidR="00E84717" w:rsidRPr="003B448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xternal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E84717" w:rsidRPr="003B448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Triage 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event</w:t>
      </w:r>
      <w:r w:rsidR="00E84717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may be used to gather representatives from all departments at a campus for a briefing in response to a critical incident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</w:p>
    <w:p w14:paraId="64D91DBB" w14:textId="77777777" w:rsidR="00226A8D" w:rsidRPr="00226A8D" w:rsidRDefault="00226A8D" w:rsidP="00226A8D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6F0201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</w:pPr>
    </w:p>
    <w:p w14:paraId="20627909" w14:textId="2236D947" w:rsidR="00485F1C" w:rsidRPr="00525264" w:rsidRDefault="00485F1C" w:rsidP="00485F1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Policy</w:t>
      </w:r>
      <w:r w:rsidR="00D97AC6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 and Responsibilities</w:t>
      </w:r>
      <w:r w:rsidRPr="00CE1950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:</w:t>
      </w:r>
      <w:r w:rsidR="00C24656" w:rsidRPr="00525264">
        <w:rPr>
          <w:rStyle w:val="normaltextrun"/>
          <w:rFonts w:asciiTheme="minorHAnsi" w:eastAsiaTheme="majorEastAsia" w:hAnsiTheme="minorHAnsi" w:cstheme="minorHAnsi"/>
          <w:b/>
          <w:bCs/>
          <w:color w:val="0070C0"/>
          <w:sz w:val="22"/>
          <w:szCs w:val="22"/>
        </w:rPr>
        <w:t xml:space="preserve">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P</w:t>
      </w:r>
      <w:r w:rsidR="003E0286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ersonnel</w:t>
      </w:r>
      <w:r w:rsidR="00C24656" w:rsidRP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will know the procedure to inform and/or support </w:t>
      </w:r>
      <w:r w:rsidR="00525264" w:rsidRP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 </w:t>
      </w:r>
      <w:r w:rsidR="00C24656" w:rsidRP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Internal or External Triage </w:t>
      </w:r>
      <w:r w:rsidR="00525264" w:rsidRP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event.</w:t>
      </w:r>
    </w:p>
    <w:p w14:paraId="69CE2AED" w14:textId="77777777" w:rsidR="00226A8D" w:rsidRPr="00226A8D" w:rsidRDefault="00226A8D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A23E27" w14:textId="77777777" w:rsidR="00226A8D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 the event of an emergency situation, a plain language alert will be utilized to notify and initiate the appropriate individuals and emergency response based on the campus emergency operations plan.</w:t>
      </w:r>
    </w:p>
    <w:p w14:paraId="7CCA0124" w14:textId="2551A7E2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6C9ACF17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62210C8" w14:textId="77777777" w:rsidR="00226A8D" w:rsidRPr="00226A8D" w:rsidRDefault="00226A8D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EE65C49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103DDEDC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5399B030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5820877F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1EF4C969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2AF144C8" w14:textId="77777777" w:rsidR="00E84717" w:rsidRDefault="00E84717" w:rsidP="00485F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0A079FDE" w14:textId="2FDF7752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Procedure: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18CBA86" w14:textId="1029AF8D" w:rsidR="00485F1C" w:rsidRPr="00525264" w:rsidRDefault="00E84717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lastRenderedPageBreak/>
        <w:t xml:space="preserve">1. </w:t>
      </w:r>
      <w:r w:rsidR="00485F1C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Initiat</w:t>
      </w:r>
      <w:r w:rsidR="00543AF4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e</w:t>
      </w:r>
      <w:r w:rsidR="00485F1C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 an Emergency Alert Call for </w:t>
      </w:r>
      <w:r w:rsidR="00543AF4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an In</w:t>
      </w:r>
      <w:r w:rsidR="00485F1C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ternal or </w:t>
      </w:r>
      <w:r w:rsidR="00543AF4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Ex</w:t>
      </w:r>
      <w:r w:rsidR="00485F1C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 xml:space="preserve">ternal </w:t>
      </w:r>
      <w:r w:rsidR="00226A8D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Triage</w:t>
      </w:r>
      <w:r w:rsidR="00485F1C"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:</w:t>
      </w:r>
      <w:r w:rsidR="00485F1C" w:rsidRPr="00525264">
        <w:rPr>
          <w:rStyle w:val="eop"/>
          <w:rFonts w:asciiTheme="minorHAnsi" w:eastAsiaTheme="majorEastAsia" w:hAnsiTheme="minorHAnsi" w:cstheme="minorHAnsi"/>
          <w:color w:val="002060"/>
          <w:sz w:val="22"/>
          <w:szCs w:val="22"/>
        </w:rPr>
        <w:t> </w:t>
      </w:r>
    </w:p>
    <w:p w14:paraId="6EDC8D54" w14:textId="654F7E06" w:rsidR="00485F1C" w:rsidRPr="00226A8D" w:rsidRDefault="00485F1C" w:rsidP="0052526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 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staff person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who becomes aware of a critical </w:t>
      </w:r>
      <w:r w:rsidR="00E84717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incident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will 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announce and/or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notify a supervisor 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to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initiate a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n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n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ternal or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x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ternal </w:t>
      </w:r>
      <w:r w:rsidR="00ED7FF3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riage</w:t>
      </w:r>
      <w:r w:rsidR="00226A8D"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</w:p>
    <w:p w14:paraId="511B61AD" w14:textId="7B75A1F4" w:rsidR="00485F1C" w:rsidRPr="00226A8D" w:rsidRDefault="00485F1C" w:rsidP="0052526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When initiating a facility emergency alert, the healthcare facility employee should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announce or c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ontact the call center staff to initiate the notification process for the specific facility emergency alert, either ‘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In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ternal’ or ‘</w:t>
      </w:r>
      <w:r w:rsidR="00E84717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Ex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ternal’ </w:t>
      </w:r>
      <w:r w:rsidR="00226A8D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or ‘Triage’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.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27F18BE" w14:textId="146EDA40" w:rsidR="00485F1C" w:rsidRPr="00226A8D" w:rsidRDefault="00485F1C" w:rsidP="00E8471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The </w:t>
      </w:r>
      <w:r w:rsidR="00525264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announcement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should </w:t>
      </w:r>
      <w:r w:rsidR="00525264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include the 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use the plain language alert and the established alert scripting for </w:t>
      </w:r>
      <w:r w:rsidR="00E84717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the alert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as follows: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CE19D56" w14:textId="7BB777C7" w:rsidR="00485F1C" w:rsidRDefault="00485F1C" w:rsidP="00E8471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“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Facility alert + </w:t>
      </w:r>
      <w:r w:rsid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‘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Internal</w:t>
      </w:r>
      <w:r w:rsid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’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 or </w:t>
      </w:r>
      <w:r w:rsid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‘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External</w:t>
      </w:r>
      <w:r w:rsid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’ or ‘Triage’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+ briefing location + time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2AE2ACD6" w14:textId="77777777" w:rsidR="004E090A" w:rsidRDefault="004E090A" w:rsidP="00226A8D">
      <w:pPr>
        <w:pStyle w:val="paragraph"/>
        <w:spacing w:before="0" w:beforeAutospacing="0" w:after="0" w:afterAutospacing="0"/>
        <w:ind w:left="2520"/>
        <w:textAlignment w:val="baseline"/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</w:pPr>
    </w:p>
    <w:p w14:paraId="7EB8CBE2" w14:textId="77777777" w:rsidR="004E090A" w:rsidRPr="00525264" w:rsidRDefault="004E090A" w:rsidP="00226A8D">
      <w:pPr>
        <w:pStyle w:val="paragraph"/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65DD705" w14:textId="77777777" w:rsidR="00485F1C" w:rsidRPr="00525264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525264">
        <w:rPr>
          <w:rStyle w:val="normaltextrun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2. Establishing Incident Command</w:t>
      </w:r>
      <w:r w:rsidRPr="00525264">
        <w:rPr>
          <w:rStyle w:val="eop"/>
          <w:rFonts w:asciiTheme="minorHAnsi" w:eastAsiaTheme="majorEastAsia" w:hAnsiTheme="minorHAnsi" w:cstheme="minorHAnsi"/>
          <w:b/>
          <w:bCs/>
          <w:color w:val="002060"/>
          <w:sz w:val="22"/>
          <w:szCs w:val="22"/>
        </w:rPr>
        <w:t> </w:t>
      </w:r>
    </w:p>
    <w:p w14:paraId="790E93AF" w14:textId="45E81B5E" w:rsidR="00485F1C" w:rsidRPr="00226A8D" w:rsidRDefault="00525264" w:rsidP="0052526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30B87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70C0"/>
          <w:sz w:val="22"/>
          <w:szCs w:val="22"/>
          <w:highlight w:val="yellow"/>
        </w:rPr>
        <w:t xml:space="preserve">(insert department name(s) </w:t>
      </w:r>
      <w:r w:rsidR="00CE1950" w:rsidRPr="00830B87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70C0"/>
          <w:sz w:val="22"/>
          <w:szCs w:val="22"/>
          <w:highlight w:val="yellow"/>
        </w:rPr>
        <w:t>here)</w:t>
      </w:r>
      <w:r w:rsidR="00485F1C" w:rsidRPr="00525264">
        <w:rPr>
          <w:rStyle w:val="normaltextrun"/>
          <w:rFonts w:asciiTheme="minorHAnsi" w:eastAsiaTheme="majorEastAsia" w:hAnsiTheme="minorHAnsi" w:cstheme="minorHAnsi"/>
          <w:color w:val="0070C0"/>
          <w:sz w:val="22"/>
          <w:szCs w:val="22"/>
        </w:rPr>
        <w:t xml:space="preserve"> </w:t>
      </w:r>
      <w:r w:rsidR="00485F1C"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will send a representative to the announced meeting place, physical or virtual. </w:t>
      </w:r>
      <w:r w:rsidR="00485F1C"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F449B9B" w14:textId="77777777" w:rsidR="00485F1C" w:rsidRPr="00226A8D" w:rsidRDefault="00485F1C" w:rsidP="0052526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 briefing will occur, and appropriate action will be planned. 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46126D0A" w14:textId="77777777" w:rsidR="00485F1C" w:rsidRPr="00226A8D" w:rsidRDefault="00485F1C" w:rsidP="0052526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The incident commander will facilitate communication to all staff regarding action required in response to the critical incident. 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4BEDE968" w14:textId="77777777" w:rsidR="00485F1C" w:rsidRPr="00036E9E" w:rsidRDefault="00485F1C" w:rsidP="0052526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All staff will await and follow the instructions of Incident Command. 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4A64AA6" w14:textId="77777777" w:rsidR="00036E9E" w:rsidRPr="00226A8D" w:rsidRDefault="00036E9E" w:rsidP="00036E9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1200D48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3. Terminating an Emergency Alert Call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45AA361C" w14:textId="7C46A7B3" w:rsidR="00485F1C" w:rsidRPr="00525264" w:rsidRDefault="00485F1C" w:rsidP="0052526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most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emergency alert call</w:t>
      </w:r>
      <w:r w:rsidR="003F4168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should be canceled. 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5C8B5609" w14:textId="77777777" w:rsidR="00525264" w:rsidRPr="00226A8D" w:rsidRDefault="00525264" w:rsidP="0052526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B795FF" w14:textId="77777777" w:rsidR="00525264" w:rsidRDefault="00485F1C" w:rsidP="005252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An “All Clear” “+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Facility Alert </w:t>
      </w:r>
      <w:r w:rsidR="003F4168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‘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Internal</w:t>
      </w:r>
      <w:r w:rsidR="003F4168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’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 xml:space="preserve">or </w:t>
      </w:r>
      <w:r w:rsidR="003F4168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‘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External</w:t>
      </w:r>
      <w:r w:rsidR="003F4168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’ or ‘Triage’ or ‘Disaster’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+ location” </w:t>
      </w:r>
      <w:r w:rsid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may be 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announced by the call center staff</w:t>
      </w:r>
      <w:r w:rsidR="00525264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or designee,</w:t>
      </w: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to all that received the notification. </w:t>
      </w:r>
    </w:p>
    <w:p w14:paraId="2DEA976E" w14:textId="585DF61D" w:rsidR="00485F1C" w:rsidRPr="00226A8D" w:rsidRDefault="00485F1C" w:rsidP="005252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This announcement should be repeated three times.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1BC0324D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756778F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0B357CA6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3.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0E2740"/>
          <w:sz w:val="22"/>
          <w:szCs w:val="22"/>
        </w:rPr>
        <w:t>Competency-based Staff Education</w:t>
      </w:r>
      <w:r w:rsidRPr="00226A8D">
        <w:rPr>
          <w:rStyle w:val="eop"/>
          <w:rFonts w:asciiTheme="minorHAnsi" w:eastAsiaTheme="majorEastAsia" w:hAnsiTheme="minorHAnsi" w:cstheme="minorHAnsi"/>
          <w:color w:val="0E2740"/>
          <w:sz w:val="22"/>
          <w:szCs w:val="22"/>
        </w:rPr>
        <w:t> </w:t>
      </w:r>
    </w:p>
    <w:p w14:paraId="3C9D614F" w14:textId="31C2FA49" w:rsidR="00485F1C" w:rsidRPr="00036E9E" w:rsidRDefault="00485F1C" w:rsidP="005252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  <w:r w:rsidRPr="004E090A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</w:t>
      </w:r>
      <w:r w:rsidR="00036E9E">
        <w:rPr>
          <w:rStyle w:val="normaltextrun"/>
          <w:rFonts w:asciiTheme="minorHAnsi" w:eastAsiaTheme="majorEastAsia" w:hAnsiTheme="minorHAnsi" w:cstheme="minorHAnsi"/>
          <w:color w:val="0E2740"/>
          <w:sz w:val="22"/>
          <w:szCs w:val="22"/>
        </w:rPr>
        <w:t xml:space="preserve"> </w:t>
      </w:r>
      <w:r w:rsidR="00036E9E" w:rsidRPr="00830B87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70C0"/>
          <w:sz w:val="22"/>
          <w:szCs w:val="22"/>
          <w:highlight w:val="yellow"/>
        </w:rPr>
        <w:t>(insert location here)</w:t>
      </w:r>
      <w:r w:rsidRPr="00036E9E">
        <w:rPr>
          <w:rStyle w:val="eop"/>
          <w:rFonts w:asciiTheme="minorHAnsi" w:eastAsiaTheme="majorEastAsia" w:hAnsiTheme="minorHAnsi" w:cstheme="minorHAnsi"/>
          <w:b/>
          <w:bCs/>
          <w:i/>
          <w:iCs/>
          <w:color w:val="0070C0"/>
          <w:sz w:val="22"/>
          <w:szCs w:val="22"/>
        </w:rPr>
        <w:t> </w:t>
      </w:r>
    </w:p>
    <w:p w14:paraId="7CAADA47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184DA0B" w14:textId="77777777" w:rsidR="00485F1C" w:rsidRPr="00670823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67082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0ADA267" w14:textId="4CF7316B" w:rsidR="00485F1C" w:rsidRPr="00670823" w:rsidRDefault="00485F1C" w:rsidP="00485F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</w:pPr>
      <w:r w:rsidRPr="00670823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 </w:t>
      </w:r>
      <w:r w:rsidR="003F4168" w:rsidRPr="00670823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Re</w:t>
      </w:r>
      <w:r w:rsidR="00994D96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ferences</w:t>
      </w:r>
      <w:r w:rsidR="003F4168" w:rsidRPr="00670823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:</w:t>
      </w:r>
    </w:p>
    <w:p w14:paraId="683F1D84" w14:textId="77777777" w:rsidR="00670823" w:rsidRPr="00670823" w:rsidRDefault="00670823" w:rsidP="00485F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70E93D36" w14:textId="11D33AFF" w:rsidR="003F4168" w:rsidRPr="00670823" w:rsidRDefault="00085F58" w:rsidP="00485F1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8" w:history="1">
        <w:r w:rsidR="00670823" w:rsidRPr="00670823">
          <w:rPr>
            <w:rStyle w:val="Hyperlink"/>
            <w:rFonts w:ascii="Calibri" w:eastAsiaTheme="majorEastAsia" w:hAnsi="Calibri" w:cs="Calibri"/>
            <w:sz w:val="22"/>
            <w:szCs w:val="22"/>
          </w:rPr>
          <w:t>ASPR TRACIE Hospital Mass Casualty Response Plan Considerations (hhs.gov)</w:t>
        </w:r>
      </w:hyperlink>
    </w:p>
    <w:p w14:paraId="403C0B0E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A80F66B" w14:textId="77777777" w:rsidR="00485F1C" w:rsidRPr="00226A8D" w:rsidRDefault="00485F1C" w:rsidP="00485F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89A2B7C" w14:textId="77777777" w:rsidR="00D4220D" w:rsidRPr="00226A8D" w:rsidRDefault="00D4220D">
      <w:pPr>
        <w:rPr>
          <w:rFonts w:cstheme="minorHAnsi"/>
        </w:rPr>
      </w:pPr>
    </w:p>
    <w:sectPr w:rsidR="00D4220D" w:rsidRPr="00226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DDBED" w14:textId="77777777" w:rsidR="001429F5" w:rsidRDefault="001429F5" w:rsidP="00485F1C">
      <w:pPr>
        <w:spacing w:after="0" w:line="240" w:lineRule="auto"/>
      </w:pPr>
      <w:r>
        <w:separator/>
      </w:r>
    </w:p>
  </w:endnote>
  <w:endnote w:type="continuationSeparator" w:id="0">
    <w:p w14:paraId="1971521C" w14:textId="77777777" w:rsidR="001429F5" w:rsidRDefault="001429F5" w:rsidP="0048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A846" w14:textId="77777777" w:rsidR="00C24656" w:rsidRDefault="00C24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8BD3" w14:textId="24F9E9C1" w:rsidR="00485F1C" w:rsidRDefault="00485F1C" w:rsidP="00485F1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2DFCA8E7" w14:textId="74881E28" w:rsidR="00485F1C" w:rsidRDefault="00485F1C">
    <w:pPr>
      <w:pStyle w:val="Footer"/>
    </w:pPr>
  </w:p>
  <w:p w14:paraId="03DF2C13" w14:textId="77777777" w:rsidR="00485F1C" w:rsidRDefault="0048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D9A4" w14:textId="77777777" w:rsidR="00C24656" w:rsidRDefault="00C2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856E" w14:textId="77777777" w:rsidR="001429F5" w:rsidRDefault="001429F5" w:rsidP="00485F1C">
      <w:pPr>
        <w:spacing w:after="0" w:line="240" w:lineRule="auto"/>
      </w:pPr>
      <w:r>
        <w:separator/>
      </w:r>
    </w:p>
  </w:footnote>
  <w:footnote w:type="continuationSeparator" w:id="0">
    <w:p w14:paraId="25A21FB4" w14:textId="77777777" w:rsidR="001429F5" w:rsidRDefault="001429F5" w:rsidP="0048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BC74" w14:textId="03AF4846" w:rsidR="00C24656" w:rsidRDefault="00085F58">
    <w:pPr>
      <w:pStyle w:val="Header"/>
    </w:pPr>
    <w:r>
      <w:rPr>
        <w:noProof/>
      </w:rPr>
      <w:pict w14:anchorId="1F0AF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70063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5367" w14:textId="04F01CBF" w:rsidR="00C24656" w:rsidRDefault="00085F58">
    <w:pPr>
      <w:pStyle w:val="Header"/>
    </w:pPr>
    <w:r>
      <w:rPr>
        <w:noProof/>
      </w:rPr>
      <w:pict w14:anchorId="65EE6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70064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49B30" w14:textId="2463B073" w:rsidR="00C24656" w:rsidRDefault="00085F58">
    <w:pPr>
      <w:pStyle w:val="Header"/>
    </w:pPr>
    <w:r>
      <w:rPr>
        <w:noProof/>
      </w:rPr>
      <w:pict w14:anchorId="05C9A8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170062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2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E520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3245F8"/>
    <w:multiLevelType w:val="multilevel"/>
    <w:tmpl w:val="094E43F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7360DC"/>
    <w:multiLevelType w:val="multilevel"/>
    <w:tmpl w:val="5A2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0B42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954070"/>
    <w:multiLevelType w:val="multilevel"/>
    <w:tmpl w:val="84947FD2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436687"/>
    <w:multiLevelType w:val="multilevel"/>
    <w:tmpl w:val="2C620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315F0"/>
    <w:multiLevelType w:val="hybridMultilevel"/>
    <w:tmpl w:val="A7F0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11C0"/>
    <w:multiLevelType w:val="multilevel"/>
    <w:tmpl w:val="6B62F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8240645"/>
    <w:multiLevelType w:val="multilevel"/>
    <w:tmpl w:val="56FC784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B1144F4"/>
    <w:multiLevelType w:val="multilevel"/>
    <w:tmpl w:val="248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3A3D18"/>
    <w:multiLevelType w:val="multilevel"/>
    <w:tmpl w:val="060686A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1598367927">
    <w:abstractNumId w:val="11"/>
  </w:num>
  <w:num w:numId="2" w16cid:durableId="1657033648">
    <w:abstractNumId w:val="3"/>
  </w:num>
  <w:num w:numId="3" w16cid:durableId="1096440257">
    <w:abstractNumId w:val="8"/>
  </w:num>
  <w:num w:numId="4" w16cid:durableId="756748638">
    <w:abstractNumId w:val="6"/>
  </w:num>
  <w:num w:numId="5" w16cid:durableId="425812691">
    <w:abstractNumId w:val="2"/>
  </w:num>
  <w:num w:numId="6" w16cid:durableId="1959677382">
    <w:abstractNumId w:val="9"/>
  </w:num>
  <w:num w:numId="7" w16cid:durableId="62528620">
    <w:abstractNumId w:val="5"/>
  </w:num>
  <w:num w:numId="8" w16cid:durableId="259408432">
    <w:abstractNumId w:val="10"/>
  </w:num>
  <w:num w:numId="9" w16cid:durableId="979383103">
    <w:abstractNumId w:val="7"/>
  </w:num>
  <w:num w:numId="10" w16cid:durableId="179903453">
    <w:abstractNumId w:val="4"/>
  </w:num>
  <w:num w:numId="11" w16cid:durableId="54281743">
    <w:abstractNumId w:val="0"/>
  </w:num>
  <w:num w:numId="12" w16cid:durableId="208725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1C"/>
    <w:rsid w:val="00033CFF"/>
    <w:rsid w:val="00036E9E"/>
    <w:rsid w:val="00085F58"/>
    <w:rsid w:val="0010200A"/>
    <w:rsid w:val="001429F5"/>
    <w:rsid w:val="001A07C1"/>
    <w:rsid w:val="00211DBC"/>
    <w:rsid w:val="00217CE8"/>
    <w:rsid w:val="00226A8D"/>
    <w:rsid w:val="00273BC3"/>
    <w:rsid w:val="003122DB"/>
    <w:rsid w:val="00312FCB"/>
    <w:rsid w:val="003545F3"/>
    <w:rsid w:val="00384957"/>
    <w:rsid w:val="003B4483"/>
    <w:rsid w:val="003E0286"/>
    <w:rsid w:val="003F1C2F"/>
    <w:rsid w:val="003F4168"/>
    <w:rsid w:val="0046788B"/>
    <w:rsid w:val="00485C73"/>
    <w:rsid w:val="00485F1C"/>
    <w:rsid w:val="004C27B4"/>
    <w:rsid w:val="004E090A"/>
    <w:rsid w:val="004E3286"/>
    <w:rsid w:val="004F0E16"/>
    <w:rsid w:val="00525264"/>
    <w:rsid w:val="0053344F"/>
    <w:rsid w:val="00543AF4"/>
    <w:rsid w:val="005B661C"/>
    <w:rsid w:val="00670823"/>
    <w:rsid w:val="00695CDE"/>
    <w:rsid w:val="007B55F5"/>
    <w:rsid w:val="007E2C78"/>
    <w:rsid w:val="00830B87"/>
    <w:rsid w:val="008406A3"/>
    <w:rsid w:val="008E1D12"/>
    <w:rsid w:val="008F183C"/>
    <w:rsid w:val="00931938"/>
    <w:rsid w:val="00994D96"/>
    <w:rsid w:val="00A1567E"/>
    <w:rsid w:val="00BD0CCB"/>
    <w:rsid w:val="00C14F52"/>
    <w:rsid w:val="00C24656"/>
    <w:rsid w:val="00CE1950"/>
    <w:rsid w:val="00D4220D"/>
    <w:rsid w:val="00D97AC6"/>
    <w:rsid w:val="00DF03C1"/>
    <w:rsid w:val="00E84717"/>
    <w:rsid w:val="00E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22CD8"/>
  <w15:chartTrackingRefBased/>
  <w15:docId w15:val="{44D000F9-AE99-47EC-A64C-AD5028D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F1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8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85F1C"/>
  </w:style>
  <w:style w:type="character" w:customStyle="1" w:styleId="eop">
    <w:name w:val="eop"/>
    <w:basedOn w:val="DefaultParagraphFont"/>
    <w:rsid w:val="00485F1C"/>
  </w:style>
  <w:style w:type="paragraph" w:styleId="Header">
    <w:name w:val="header"/>
    <w:basedOn w:val="Normal"/>
    <w:link w:val="HeaderChar"/>
    <w:uiPriority w:val="99"/>
    <w:unhideWhenUsed/>
    <w:rsid w:val="0048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1C"/>
  </w:style>
  <w:style w:type="paragraph" w:styleId="Footer">
    <w:name w:val="footer"/>
    <w:basedOn w:val="Normal"/>
    <w:link w:val="FooterChar"/>
    <w:uiPriority w:val="99"/>
    <w:unhideWhenUsed/>
    <w:rsid w:val="0048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1C"/>
  </w:style>
  <w:style w:type="character" w:styleId="Hyperlink">
    <w:name w:val="Hyperlink"/>
    <w:basedOn w:val="DefaultParagraphFont"/>
    <w:uiPriority w:val="99"/>
    <w:semiHidden/>
    <w:unhideWhenUsed/>
    <w:rsid w:val="00670823"/>
    <w:rPr>
      <w:color w:val="0000FF"/>
      <w:u w:val="single"/>
    </w:rPr>
  </w:style>
  <w:style w:type="paragraph" w:styleId="Revision">
    <w:name w:val="Revision"/>
    <w:hidden/>
    <w:uiPriority w:val="99"/>
    <w:semiHidden/>
    <w:rsid w:val="00ED7F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F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asprtracie.hhs.gov/documents/aspr-tracie-mci-response-plan-considerations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AD3D9-233E-49F6-8990-DFFD0B9CB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6BC41-48C7-4878-A730-2C033BBEA34A}"/>
</file>

<file path=customXml/itemProps3.xml><?xml version="1.0" encoding="utf-8"?>
<ds:datastoreItem xmlns:ds="http://schemas.openxmlformats.org/officeDocument/2006/customXml" ds:itemID="{0860A080-8314-4BCF-9F8C-5ADAD8C4EF5A}"/>
</file>

<file path=customXml/itemProps4.xml><?xml version="1.0" encoding="utf-8"?>
<ds:datastoreItem xmlns:ds="http://schemas.openxmlformats.org/officeDocument/2006/customXml" ds:itemID="{576B42DC-C6C0-44D7-9FA4-6E1BC46DD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4</cp:revision>
  <dcterms:created xsi:type="dcterms:W3CDTF">2024-07-08T16:29:00Z</dcterms:created>
  <dcterms:modified xsi:type="dcterms:W3CDTF">2024-07-09T20:29:00Z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